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仿宋" w:hAnsi="仿宋" w:eastAsia="仿宋_GB2312"/>
          <w:color w:val="auto"/>
          <w:sz w:val="32"/>
          <w:szCs w:val="32"/>
          <w:highlight w:val="none"/>
          <w:u w:val="none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</w:rPr>
        <w:t>江门市</w:t>
      </w:r>
      <w:r>
        <w:rPr>
          <w:rFonts w:hint="eastAsia"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  <w:lang w:eastAsia="zh-CN"/>
        </w:rPr>
        <w:t>科学馆大院职工食堂</w:t>
      </w:r>
      <w:r>
        <w:rPr>
          <w:rFonts w:hint="default"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  <w:lang w:eastAsia="zh-CN"/>
        </w:rPr>
        <w:t>食材</w:t>
      </w:r>
      <w:r>
        <w:rPr>
          <w:rFonts w:hint="eastAsia"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  <w:lang w:eastAsia="zh-CN"/>
        </w:rPr>
        <w:t>原料</w:t>
      </w:r>
    </w:p>
    <w:p>
      <w:pPr>
        <w:spacing w:line="580" w:lineRule="exact"/>
        <w:jc w:val="center"/>
        <w:rPr>
          <w:rFonts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  <w:lang w:eastAsia="zh-CN"/>
        </w:rPr>
        <w:t>采购配送</w:t>
      </w:r>
      <w:r>
        <w:rPr>
          <w:rFonts w:hint="eastAsia" w:ascii="Times New Roman" w:hAnsi="Times New Roman" w:eastAsia="方正大标宋_GBK" w:cs="Times New Roman"/>
          <w:color w:val="auto"/>
          <w:sz w:val="44"/>
          <w:szCs w:val="44"/>
          <w:highlight w:val="none"/>
          <w:u w:val="none"/>
        </w:rPr>
        <w:t>服务要求</w:t>
      </w:r>
      <w:bookmarkEnd w:id="0"/>
    </w:p>
    <w:p>
      <w:pPr>
        <w:spacing w:line="580" w:lineRule="exact"/>
        <w:jc w:val="left"/>
        <w:rPr>
          <w:rFonts w:ascii="Times New Roman" w:hAnsi="Times New Roman" w:eastAsia="方正大标宋_GBK" w:cs="Times New Roman"/>
          <w:b/>
          <w:color w:val="auto"/>
          <w:sz w:val="44"/>
          <w:szCs w:val="44"/>
          <w:highlight w:val="none"/>
          <w:u w:val="none"/>
        </w:rPr>
      </w:pPr>
    </w:p>
    <w:p>
      <w:pPr>
        <w:spacing w:line="580" w:lineRule="exact"/>
        <w:ind w:firstLine="630"/>
        <w:jc w:val="both"/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  <w:u w:val="none"/>
        </w:rPr>
        <w:t>一、配送要求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（一）送货方式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服务公司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需及时响应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采购人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以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电话或电子邮件或微信或其它方式通知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订购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，根据每次订购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品种、数量后按时运送物品到指定地点，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并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随货提供注明货物名称、单位、数量、售价及总金额的商品送货清单。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（二）交货地点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蓬江区港口路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68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号江门市科学馆内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（三）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eastAsia="zh-CN"/>
        </w:rPr>
        <w:t>货物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包装与标志要求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包装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货物的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容器(框、箱、袋)要求清洁、干燥、牢固、透气，无污染、无异味、无霉变现象。每件包装必须按《农产品包装和标识管理办法》贴标签，并标明产地、品种、净含量、生产单位及地址和采收日期。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（四）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eastAsia="zh-CN"/>
        </w:rPr>
        <w:t>货物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运输要求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运输工具应清洁卫生无污染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食品运输必须采用符合卫生标准的外包装和运载工具，并且要保持清洁和定期消毒。运输车厢的内仓，包括地面、墙面和顶，应使用抗腐蚀、防潮，易清洁消毒的材料。车厢内无不良气味、异味。</w:t>
      </w:r>
    </w:p>
    <w:p>
      <w:pPr>
        <w:spacing w:line="580" w:lineRule="exact"/>
        <w:ind w:firstLine="630"/>
        <w:jc w:val="both"/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  <w:u w:val="none"/>
        </w:rPr>
        <w:t>二、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  <w:u w:val="none"/>
          <w:lang w:eastAsia="zh-CN"/>
        </w:rPr>
        <w:t>配送物品质量要求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  <w:t>（一）肉类（含生鲜、冻品、鱼类、熟食等）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1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鲜肉确保每日新鲜，肌肉红色均匀，有光泽，脂肪洁白。外表微干或微湿润，放血状况良好，肉边整齐，无破碎肉，无黏液渗出或很干的表皮，无点状、虫状等小颗粒灰白色寄生虫。弹性良好，压后凹陷立即恢复。具有鲜肉正常气味，无泥污、血污、肉边整齐、无碎肉、无碎骨，无注水。五花肉指肥瘦比例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7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（三线肉）猪肉；瘦肉指脂肪含量低于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5%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的去皮瘦猪肉；排骨指脂肪含量低于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5%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，不带排骨头，整排的猪排骨。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2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鱼体饱满结实、新鲜，无腐烂异味，肉质紧密有弹性，无离骨脱刺现象，可靠放心，无毒、无害、无污染。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3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冷冻食品类产品外包装须有品牌、规格、类型、包装方式、包装净重、含冰量等要素完整的中文标签。冷冻肉要求肉体冻实坚硬，无化冻现象，肉质紧密而有弹性，色泽均匀，不粘手，交货时干净、新鲜、无异味，冷冻鱼类要求鱼眼睛清亮，角膜透明，鳞片上覆有冻结的透明黏液层，皮肤天然色泽明显。冷冻禽类食品解冻后净重量不少于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90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％，冷冻肉类食品解冻后净重量不少于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92%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，冷冻水产类食品解冻后净重量不少于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85%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，解冻时间为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4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小时以内（室温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20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℃）。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4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熟食包括烧鸡、烧鸭、烧鹅等。熟食（特别是鲜制熟食）保质期较短，保鲜要求高，供应的熟食需保证产品的品质</w:t>
      </w: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  <w:t>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  <w:t>（二）蔬菜瓜果类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蔬菜瓜果均来自蔬菜瓜果生产基地，具体提供的品种顺应季节变化，附有合格的检测报告或快检报告，农药残留符合食品安全国家相关标准的规定。所有蔬菜瓜果在交付采购人前须经过前期处理，可使用率达到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92%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以上。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2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蔬菜色泽具有本品种固有的颜色，大多数有发亮的光泽，具有清馨、甘辛香、甜酸香等气味，可凭嗅觉识别不同品种的质量，不允许有腐烂变质的亚硝酸盐味和其他异常气味，不允许有因萎蔫、枯塌、损伤、病变、虫害侵蚀等引起的非正常、不新鲜的蔬菜。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  <w:lang w:eastAsia="zh-CN"/>
        </w:rPr>
        <w:t>.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水果应当色泽光鲜、水润饱满、无腐烂，果品表面清洁新鲜，无病虫害和机械损伤，带有芳香味。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  <w:t>（三）粮油类、调味品类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粮油类、调味品类要提供附有合格检验报告、标识齐全、保质期不得少于标注有效期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/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2</w:t>
      </w: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的预包装食品。散装豆类要提供生产厂家营业执照、产品检验合格证书。投标人所提供产品质量须要符合行业标准要求，不得有掺假、变质、变味、过期等现象出现，严禁提供伪劣、假冒、无证不合格产品。</w:t>
      </w:r>
    </w:p>
    <w:p>
      <w:pPr>
        <w:spacing w:line="580" w:lineRule="exact"/>
        <w:ind w:firstLine="630"/>
        <w:jc w:val="both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u w:val="none"/>
        </w:rPr>
        <w:t>（四）干货制品</w:t>
      </w:r>
    </w:p>
    <w:p>
      <w:pPr>
        <w:spacing w:line="580" w:lineRule="exact"/>
        <w:ind w:firstLine="630"/>
        <w:jc w:val="both"/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u w:val="none"/>
        </w:rPr>
        <w:t>干货制品的质量基本标准要求符合国家相关行业标准，干爽，不霉烂、整齐、均匀、完整，无虫蛀、无杂质，保持应有的色泽。确保产品质量稳定，保证营养丰富、绿色安全、海味浓郁、易存放、食用方便。从加工、包装、运输、贮存到销售全部符合国家规定标准，尤其是二氧化硫残留量、总砷含量不超过国家卫生标准；木耳类的水分含量不能超过国家标准要求。</w:t>
      </w:r>
    </w:p>
    <w:p>
      <w:pPr>
        <w:pStyle w:val="2"/>
        <w:spacing w:line="580" w:lineRule="exact"/>
        <w:ind w:firstLine="640" w:firstLineChars="200"/>
        <w:jc w:val="both"/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方正黑体_GBK" w:hAnsi="Times New Roman" w:eastAsia="方正黑体_GBK" w:cs="Times New Roman"/>
          <w:b w:val="0"/>
          <w:color w:val="auto"/>
          <w:kern w:val="2"/>
          <w:sz w:val="32"/>
          <w:szCs w:val="32"/>
          <w:highlight w:val="none"/>
          <w:u w:val="none"/>
          <w:lang w:eastAsia="zh-CN"/>
        </w:rPr>
        <w:t>三、食材</w:t>
      </w: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</w:rPr>
        <w:t>售后服务要求</w:t>
      </w:r>
    </w:p>
    <w:p>
      <w:pPr>
        <w:pStyle w:val="2"/>
        <w:spacing w:line="580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（一）服务公司应设置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24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小时服务热线，专人服务，专人跟踪，建立科学、完整的售后保障方案。</w:t>
      </w:r>
    </w:p>
    <w:p>
      <w:pPr>
        <w:pStyle w:val="2"/>
        <w:spacing w:line="580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（二）配合采购人做好食品进出库管理，登记管理所采购的食品。</w:t>
      </w:r>
    </w:p>
    <w:p>
      <w:pPr>
        <w:pStyle w:val="2"/>
        <w:spacing w:line="580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（三）接到采购人通知后</w:t>
      </w:r>
      <w:r>
        <w:rPr>
          <w:rFonts w:hint="default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45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u w:val="none"/>
        </w:rPr>
        <w:t>分钟内到达现场，服务方式均为服务公司上门服务。非采购人的人为原因而出现产品质量问题，由中标人负责包换或包退，并承担上述情况产生的一切费用。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9F48"/>
    <w:rsid w:val="E7FB9F48"/>
    <w:rsid w:val="F6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</w:pPr>
    <w:rPr>
      <w:rFonts w:ascii="宋体" w:hAnsi="Courier New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2024-08-20T16:06:00Z</dcterms:created>
  <dc:creator>linhhhhhhhuang</dc:creator>
  <cp:lastModifiedBy>linhhhhhhhuang</cp:lastModifiedBy>
  <dcterms:modified xsi:type="dcterms:W3CDTF">2024-08-20T16:08:07Z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